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南海区博物馆文创空间运营项目评分方案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一、评审方法：综合评分法。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本项目评审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方法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项目实施与响应能力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、综合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运营能力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团队及资本投入三部分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评分组成，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总分100分。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二、权重分配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项目实施与响应能力部分（30%）、综合运营能力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部分（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35%）、团队及资本投入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部分（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35%）。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评分标准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whit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white"/>
          <w:lang w:val="en-US" w:eastAsia="zh-CN"/>
        </w:rPr>
        <w:t>项目实施与响应能力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white"/>
          <w:lang w:val="en-US" w:eastAsia="zh-CN"/>
        </w:rPr>
        <w:t>部分（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whit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white"/>
          <w:lang w:val="en-US" w:eastAsia="zh-CN"/>
        </w:rPr>
        <w:t>0%）</w:t>
      </w:r>
    </w:p>
    <w:tbl>
      <w:tblPr>
        <w:tblStyle w:val="6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6582"/>
        <w:gridCol w:w="99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项</w:t>
            </w:r>
          </w:p>
        </w:tc>
        <w:tc>
          <w:tcPr>
            <w:tcW w:w="6582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评分标准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实施方案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对本项目理解程度</w:t>
            </w:r>
          </w:p>
        </w:tc>
        <w:tc>
          <w:tcPr>
            <w:tcW w:w="6582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21"/>
                <w:szCs w:val="21"/>
                <w:lang w:eastAsia="zh-CN"/>
              </w:rPr>
              <w:t>报名单位实施方案</w:t>
            </w:r>
            <w:r>
              <w:rPr>
                <w:rFonts w:hint="eastAsia" w:ascii="仿宋" w:hAnsi="仿宋" w:eastAsia="仿宋" w:cs="宋体"/>
                <w:bCs/>
                <w:color w:val="auto"/>
                <w:sz w:val="21"/>
                <w:szCs w:val="21"/>
              </w:rPr>
              <w:t>对本项目的理解及分析：</w:t>
            </w:r>
          </w:p>
          <w:p>
            <w:pPr>
              <w:rPr>
                <w:rFonts w:hint="eastAsia" w:ascii="仿宋" w:hAnsi="仿宋" w:eastAsia="仿宋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21"/>
                <w:szCs w:val="21"/>
              </w:rPr>
              <w:t>对本项目的理解及分析深入、全面，得8分；</w:t>
            </w:r>
          </w:p>
          <w:p>
            <w:pPr>
              <w:rPr>
                <w:rFonts w:hint="eastAsia" w:ascii="仿宋" w:hAnsi="仿宋" w:eastAsia="仿宋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21"/>
                <w:szCs w:val="21"/>
              </w:rPr>
              <w:t>对本项目的理解及分析较深入、较全面，得6分；</w:t>
            </w:r>
          </w:p>
          <w:p>
            <w:pPr>
              <w:rPr>
                <w:rFonts w:hint="eastAsia" w:ascii="仿宋" w:hAnsi="仿宋" w:eastAsia="仿宋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21"/>
                <w:szCs w:val="21"/>
              </w:rPr>
              <w:t>对本项目的理解及分析不够深入、不够全面，得4分；</w:t>
            </w:r>
          </w:p>
          <w:p>
            <w:pPr>
              <w:rPr>
                <w:rFonts w:hint="eastAsia" w:ascii="仿宋" w:hAnsi="仿宋" w:eastAsia="仿宋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21"/>
                <w:szCs w:val="21"/>
              </w:rPr>
              <w:t>对本项目的理解及分析不深入、不全面，得1分。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21"/>
                <w:szCs w:val="21"/>
              </w:rPr>
              <w:t>不提供材料不得分。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对实施方案的整体评价</w:t>
            </w:r>
          </w:p>
        </w:tc>
        <w:tc>
          <w:tcPr>
            <w:tcW w:w="658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根据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报名单位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提供的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实施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方案进行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评分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：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方案十分完整，计划合理、可行性高得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分；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方案较完整，计划较合理、可行性较高得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分；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方案不够完整，计划不够合理、可行性不高得3分；</w:t>
            </w:r>
          </w:p>
          <w:p>
            <w:pPr>
              <w:snapToGrid w:val="0"/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 xml:space="preserve">不提供方案不得分。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实施方案对合作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要求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的关键要求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响应程度</w:t>
            </w:r>
          </w:p>
        </w:tc>
        <w:tc>
          <w:tcPr>
            <w:tcW w:w="658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报名单位相应关键条件（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4项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情况：完全响应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的，每一项得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1分；响应内容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优于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关键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要求的，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每一项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分，不响应或负偏离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的不得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分；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-12"/>
                <w:sz w:val="21"/>
                <w:szCs w:val="21"/>
                <w:lang w:eastAsia="zh-CN"/>
              </w:rPr>
              <w:t>对保障</w:t>
            </w:r>
            <w:r>
              <w:rPr>
                <w:rFonts w:hint="eastAsia" w:ascii="仿宋" w:hAnsi="仿宋" w:eastAsia="仿宋" w:cs="仿宋"/>
                <w:bCs/>
                <w:color w:val="auto"/>
                <w:spacing w:val="-12"/>
                <w:sz w:val="21"/>
                <w:szCs w:val="21"/>
              </w:rPr>
              <w:t>方案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-12"/>
                <w:sz w:val="21"/>
                <w:szCs w:val="21"/>
                <w:lang w:eastAsia="zh-CN"/>
              </w:rPr>
              <w:t>的整体评价</w:t>
            </w:r>
          </w:p>
        </w:tc>
        <w:tc>
          <w:tcPr>
            <w:tcW w:w="6582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根据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报名单位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提供的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保障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方案进行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评分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：</w:t>
            </w:r>
          </w:p>
          <w:p>
            <w:pPr>
              <w:snapToGrid w:val="0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优：服务响应时间迅速，提供服务便利性较好，得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分；</w:t>
            </w:r>
          </w:p>
          <w:p>
            <w:pPr>
              <w:snapToGrid w:val="0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良：服务响应时间较快，提供服务便利性一般，得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分；</w:t>
            </w:r>
          </w:p>
          <w:p>
            <w:pPr>
              <w:snapToGrid w:val="0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差：服务响应时间较慢，提供服务便利性差，得</w:t>
            </w:r>
            <w:r>
              <w:rPr>
                <w:rFonts w:hint="eastAsia" w:ascii="仿宋" w:hAnsi="仿宋" w:eastAsia="仿宋"/>
                <w:bCs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分。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不提供方案不得分。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分</w:t>
            </w:r>
          </w:p>
        </w:tc>
      </w:tr>
    </w:tbl>
    <w:p>
      <w:pPr>
        <w:numPr>
          <w:ilvl w:val="0"/>
          <w:numId w:val="0"/>
        </w:numPr>
        <w:ind w:firstLine="562" w:firstLineChars="200"/>
        <w:rPr>
          <w:rFonts w:hint="eastAsia" w:ascii="宋体" w:hAnsi="宋体" w:cs="宋体"/>
          <w:b/>
          <w:bCs/>
          <w:color w:val="auto"/>
          <w:sz w:val="28"/>
          <w:szCs w:val="28"/>
          <w:highlight w:val="white"/>
          <w:lang w:val="en-US" w:eastAsia="zh-CN"/>
        </w:rPr>
      </w:pP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cs="宋体"/>
          <w:b/>
          <w:bCs/>
          <w:color w:val="auto"/>
          <w:sz w:val="28"/>
          <w:szCs w:val="28"/>
          <w:highlight w:val="white"/>
          <w:lang w:val="en-US" w:eastAsia="zh-CN"/>
        </w:rPr>
      </w:pP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eastAsia="宋体" w:cs="Calibri"/>
          <w:b/>
          <w:bCs/>
          <w:color w:val="auto"/>
          <w:kern w:val="2"/>
          <w:sz w:val="28"/>
          <w:szCs w:val="28"/>
          <w:highlight w:val="white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white"/>
          <w:lang w:val="en-US" w:eastAsia="zh-CN"/>
        </w:rPr>
        <w:t>综合运营能力</w:t>
      </w:r>
      <w:r>
        <w:rPr>
          <w:rFonts w:hint="eastAsia" w:ascii="宋体" w:hAnsi="宋体" w:eastAsia="宋体" w:cs="Calibri"/>
          <w:b/>
          <w:bCs/>
          <w:color w:val="auto"/>
          <w:kern w:val="2"/>
          <w:sz w:val="28"/>
          <w:szCs w:val="28"/>
          <w:highlight w:val="white"/>
        </w:rPr>
        <w:t>部分（</w:t>
      </w:r>
      <w:r>
        <w:rPr>
          <w:rFonts w:hint="eastAsia" w:ascii="宋体" w:hAnsi="宋体" w:cs="Calibri"/>
          <w:b/>
          <w:bCs/>
          <w:color w:val="auto"/>
          <w:kern w:val="2"/>
          <w:sz w:val="28"/>
          <w:szCs w:val="28"/>
          <w:highlight w:val="white"/>
          <w:lang w:val="en-US" w:eastAsia="zh-CN"/>
        </w:rPr>
        <w:t>35</w:t>
      </w:r>
      <w:r>
        <w:rPr>
          <w:rFonts w:hint="eastAsia" w:ascii="宋体" w:hAnsi="宋体" w:eastAsia="宋体" w:cs="Calibri"/>
          <w:b/>
          <w:bCs/>
          <w:color w:val="auto"/>
          <w:kern w:val="2"/>
          <w:sz w:val="28"/>
          <w:szCs w:val="28"/>
          <w:highlight w:val="white"/>
        </w:rPr>
        <w:t>%）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5878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whit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white"/>
                <w:lang w:eastAsia="zh-CN"/>
              </w:rPr>
              <w:t>评分项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white"/>
              </w:rPr>
              <w:t>评分标准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white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人才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优势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评价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根据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报名单位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的创始人或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带队参与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本项目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的主要负责人背景情况，对本项目顺利开展的评分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：</w:t>
            </w:r>
          </w:p>
          <w:p>
            <w:pPr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1、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创始人或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带头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人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长期在佛山、南海从事文创活动，对本地文化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熟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悉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程度较高，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具有较强与政府部门沟通能力和执行能力，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承担本项目具有较多优势得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分；</w:t>
            </w:r>
          </w:p>
          <w:p>
            <w:pPr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2、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创始人或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带头人在佛山、南海时间不长，对本地文化情况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熟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悉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程度一般，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具有一定政府部门沟通能力与执行力，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承担本项目具有一定优势得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分；</w:t>
            </w:r>
          </w:p>
          <w:p>
            <w:pPr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3、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创始人或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带头人对佛山、南海文化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熟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悉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程度较低，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缺乏与政府部门沟通能力和执行力，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承担本项目优势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不显著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得1分；</w:t>
            </w:r>
          </w:p>
          <w:p>
            <w:pPr>
              <w:spacing w:line="273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4、不提供方案不得分。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273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对合作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要求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的增值服务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响应程度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评价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73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报名单位本身（含母公司）自有开展文创产品开发、生产、销售团队；自有组织开展研学游或文化旅游的旅行社服务资质；自有组织有文化、旅游等活动策划执行服务资质的；已建立线上文创产品销售平台的，得15分；</w:t>
            </w:r>
          </w:p>
          <w:p>
            <w:pPr>
              <w:numPr>
                <w:ilvl w:val="0"/>
                <w:numId w:val="1"/>
              </w:numPr>
              <w:spacing w:line="273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报名单位本身（含母公司）并无自有开展文创产品开发、生产、销售团队；自有组织开展研学游或文化旅游的旅行社服务资质；未建立线上文创产品销售平台，但承诺可以通过联合社会第三方共同提供以上全部增值服务内容的，并能提供相关具备法律效力的合作协议的，得10分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报名单位本身（含母公司）对开展文创产品开发、生产、销售团队；自有组织开展研学游或文化旅游的旅行社服务资质；未建立线上文创产品销售平台，只能承诺提供其中部分增值服务的，得5分；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不提供方案不得分。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273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过往业绩评价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pStyle w:val="8"/>
              <w:rPr>
                <w:rStyle w:val="9"/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1.报名单位本身（含母公司）曾承接政府部门委托，作为承办（或协办）单位</w:t>
            </w:r>
            <w:r>
              <w:rPr>
                <w:rStyle w:val="9"/>
                <w:rFonts w:hint="eastAsia" w:ascii="仿宋" w:hAnsi="仿宋" w:eastAsia="仿宋"/>
                <w:color w:val="auto"/>
                <w:sz w:val="21"/>
                <w:szCs w:val="21"/>
              </w:rPr>
              <w:t>参与</w:t>
            </w:r>
            <w:r>
              <w:rPr>
                <w:rStyle w:val="9"/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佛山范围内的文化创意主题节庆活动的，</w:t>
            </w:r>
            <w:r>
              <w:rPr>
                <w:rStyle w:val="9"/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得4分；</w:t>
            </w:r>
          </w:p>
          <w:p>
            <w:pPr>
              <w:pStyle w:val="8"/>
              <w:rPr>
                <w:rStyle w:val="9"/>
                <w:rFonts w:hint="eastAsia" w:ascii="仿宋" w:hAnsi="仿宋" w:eastAsia="仿宋"/>
                <w:color w:val="auto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2.报名单位过往自主设计的文创产品，并取得相关知识产权登记的，得3</w:t>
            </w:r>
            <w:r>
              <w:rPr>
                <w:rStyle w:val="9"/>
                <w:rFonts w:ascii="仿宋" w:hAnsi="仿宋" w:eastAsia="仿宋"/>
                <w:color w:val="auto"/>
                <w:sz w:val="21"/>
                <w:szCs w:val="21"/>
              </w:rPr>
              <w:t>分</w:t>
            </w:r>
            <w:r>
              <w:rPr>
                <w:rStyle w:val="9"/>
                <w:rFonts w:hint="eastAsia" w:ascii="仿宋" w:hAnsi="仿宋" w:eastAsia="仿宋"/>
                <w:color w:val="auto"/>
                <w:sz w:val="21"/>
                <w:szCs w:val="21"/>
              </w:rPr>
              <w:t>；</w:t>
            </w:r>
          </w:p>
          <w:p>
            <w:pPr>
              <w:pStyle w:val="8"/>
              <w:rPr>
                <w:rStyle w:val="9"/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3.报名单位拥有自有的文创产品品牌，并取得相关商标注册登记的，得3分；</w:t>
            </w:r>
          </w:p>
          <w:p>
            <w:pPr>
              <w:pStyle w:val="8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4.</w:t>
            </w:r>
            <w:r>
              <w:rPr>
                <w:rStyle w:val="9"/>
                <w:rFonts w:ascii="仿宋" w:hAnsi="仿宋" w:eastAsia="仿宋"/>
                <w:color w:val="auto"/>
                <w:sz w:val="21"/>
                <w:szCs w:val="21"/>
              </w:rPr>
              <w:t>不提供</w:t>
            </w:r>
            <w:r>
              <w:rPr>
                <w:rStyle w:val="9"/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佐证</w:t>
            </w:r>
            <w:r>
              <w:rPr>
                <w:rStyle w:val="9"/>
                <w:rFonts w:ascii="仿宋" w:hAnsi="仿宋" w:eastAsia="仿宋"/>
                <w:color w:val="auto"/>
                <w:sz w:val="21"/>
                <w:szCs w:val="21"/>
              </w:rPr>
              <w:t>材料不得分。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273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</w:tr>
    </w:tbl>
    <w:p>
      <w:pPr>
        <w:spacing w:after="100" w:afterLines="0" w:afterAutospacing="1"/>
        <w:rPr>
          <w:rFonts w:hint="eastAsia" w:ascii="宋体" w:hAnsi="宋体" w:eastAsia="宋体" w:cs="Calibri"/>
          <w:color w:val="auto"/>
          <w:kern w:val="2"/>
          <w:sz w:val="21"/>
          <w:highlight w:val="white"/>
        </w:rPr>
      </w:pPr>
    </w:p>
    <w:p>
      <w:pPr>
        <w:pStyle w:val="2"/>
        <w:rPr>
          <w:rFonts w:hint="eastAsia" w:ascii="宋体" w:hAnsi="宋体" w:eastAsia="宋体" w:cs="Calibri"/>
          <w:color w:val="auto"/>
          <w:kern w:val="2"/>
          <w:sz w:val="21"/>
          <w:highlight w:val="white"/>
        </w:rPr>
      </w:pPr>
    </w:p>
    <w:p>
      <w:pPr>
        <w:pStyle w:val="2"/>
        <w:rPr>
          <w:rFonts w:hint="eastAsia" w:ascii="宋体" w:hAnsi="宋体" w:eastAsia="宋体" w:cs="Calibri"/>
          <w:color w:val="auto"/>
          <w:kern w:val="2"/>
          <w:sz w:val="21"/>
          <w:highlight w:val="white"/>
        </w:rPr>
      </w:pPr>
    </w:p>
    <w:p>
      <w:pPr>
        <w:spacing w:after="100" w:afterLines="0" w:afterAutospacing="1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white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white"/>
        </w:rPr>
        <w:t xml:space="preserve"> </w:t>
      </w:r>
      <w:r>
        <w:rPr>
          <w:rFonts w:hint="eastAsia" w:ascii="宋体" w:hAnsi="宋体" w:cs="Calibri"/>
          <w:color w:val="auto"/>
          <w:kern w:val="2"/>
          <w:sz w:val="28"/>
          <w:szCs w:val="28"/>
          <w:highlight w:val="whit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white"/>
          <w:lang w:val="en-US" w:eastAsia="zh-CN"/>
        </w:rPr>
        <w:t>团队及资本投入</w:t>
      </w:r>
      <w:r>
        <w:rPr>
          <w:rFonts w:hint="eastAsia" w:ascii="宋体" w:hAnsi="宋体" w:eastAsia="宋体"/>
          <w:b/>
          <w:bCs/>
          <w:color w:val="auto"/>
          <w:sz w:val="28"/>
          <w:szCs w:val="28"/>
          <w:highlight w:val="white"/>
        </w:rPr>
        <w:t>部分（</w:t>
      </w:r>
      <w:r>
        <w:rPr>
          <w:rFonts w:hint="eastAsia" w:ascii="宋体" w:hAnsi="宋体"/>
          <w:b/>
          <w:bCs/>
          <w:color w:val="auto"/>
          <w:sz w:val="28"/>
          <w:szCs w:val="28"/>
          <w:highlight w:val="white"/>
          <w:lang w:val="en-US" w:eastAsia="zh-CN"/>
        </w:rPr>
        <w:t>35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white"/>
        </w:rPr>
        <w:t>%）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6016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whit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white"/>
                <w:lang w:eastAsia="zh-CN"/>
              </w:rPr>
              <w:t>评分项</w:t>
            </w:r>
          </w:p>
        </w:tc>
        <w:tc>
          <w:tcPr>
            <w:tcW w:w="601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white"/>
              </w:rPr>
              <w:t>评分标准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white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noWrap w:val="0"/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常驻文创空间团队</w:t>
            </w:r>
          </w:p>
        </w:tc>
        <w:tc>
          <w:tcPr>
            <w:tcW w:w="6016" w:type="dxa"/>
            <w:noWrap w:val="0"/>
            <w:vAlign w:val="center"/>
          </w:tcPr>
          <w:p>
            <w:pPr>
              <w:spacing w:line="273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1.常驻团队人员配备完整，能包括运营、活动策划与执行、导赏导购、财务等类别成员，并能满足常年开放人员轮替休息需求的，得15分；</w:t>
            </w:r>
          </w:p>
          <w:p>
            <w:pPr>
              <w:spacing w:line="273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2.常驻团队人员配备基本充足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，但不能全部涵盖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运营、活动策划与执行、导赏导购、财务等类别成员，可能存在人手不足的情况的，得10分；</w:t>
            </w:r>
          </w:p>
          <w:p>
            <w:pPr>
              <w:pStyle w:val="3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3.常驻团队成员配备不足，难以应付日常开放需求的，得5分。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4.报名单位应提供常驻团队的人员名单、报名单位与人员直接的劳动关系（或劳务关系）佐证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材料，不提供的不得分。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273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noWrap w:val="0"/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参与本项目文博文创设计、营销团队</w:t>
            </w:r>
          </w:p>
        </w:tc>
        <w:tc>
          <w:tcPr>
            <w:tcW w:w="6016" w:type="dxa"/>
            <w:noWrap w:val="0"/>
            <w:vAlign w:val="center"/>
          </w:tcPr>
          <w:p>
            <w:pPr>
              <w:ind w:left="-63" w:leftChars="-30" w:right="-88" w:rightChars="-42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投入本项目的项目人员的数量充足、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设计能力强、营销水平好，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学历水平高、综合素质高，与本次项目活动需求关联度高，得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分；</w:t>
            </w:r>
          </w:p>
          <w:p>
            <w:pPr>
              <w:ind w:left="-63" w:leftChars="-30" w:right="-88" w:rightChars="-42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投入本项目的项目人员的数量一般、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设计能力一般、营销水平一般，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学历水平一般、综合素质一般，与本次项目活动需求关联度一般，得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分；</w:t>
            </w:r>
          </w:p>
          <w:p>
            <w:pPr>
              <w:ind w:left="-63" w:leftChars="-30" w:right="-88" w:rightChars="-42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投入本项目的项目人员的数量不足、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设计能力不强、营销水平低、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学历水平低、综合素素质差，与本次项目活动需求关联度较低，得2分；</w:t>
            </w:r>
          </w:p>
          <w:p>
            <w:pPr>
              <w:spacing w:line="273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须提供上述人员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能力水平及业绩说明、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学历证书、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工作履历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等作为证明材料，不提供不得分。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noWrap w:val="0"/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资本投入</w:t>
            </w:r>
          </w:p>
        </w:tc>
        <w:tc>
          <w:tcPr>
            <w:tcW w:w="6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1.承诺前5年投入文创空间运营资金不低于人民币300万元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（包括对文创空间加设的设备设施成本，组织文创体验活动成本，日常驻场人员成本，首批“南海文博IP活化大赛”设计成果量化生产成本，配合南海区博物馆开展的文创产品设计、开发、生产成本）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其中对首批“南海文博IP活化大赛”设计成果进行量化生产数量不少于30款，累计投资额不少于30万元的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，得6分；承诺投入资金每增加10万，多得1分。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此项最高得分为10分。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273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Arial"/>
    <w:panose1 w:val="020B0604020202020204"/>
    <w:charset w:val="88"/>
    <w:family w:val="auto"/>
    <w:pitch w:val="default"/>
    <w:sig w:usb0="00000000" w:usb1="00000000" w:usb2="0000003F" w:usb3="00000000" w:csb0="603F01FF" w:csb1="FFFF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9D40A"/>
    <w:multiLevelType w:val="singleLevel"/>
    <w:tmpl w:val="6119D40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63390"/>
    <w:rsid w:val="5D86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paragraph" w:styleId="3">
    <w:name w:val="heading 3"/>
    <w:basedOn w:val="1"/>
    <w:next w:val="4"/>
    <w:unhideWhenUsed/>
    <w:qFormat/>
    <w:uiPriority w:val="0"/>
    <w:pPr>
      <w:spacing w:line="360" w:lineRule="auto"/>
      <w:outlineLvl w:val="2"/>
    </w:pPr>
    <w:rPr>
      <w:b/>
      <w:sz w:val="28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beforeLines="0" w:after="25" w:afterLines="0"/>
      <w:jc w:val="left"/>
    </w:pPr>
    <w:rPr>
      <w:bCs/>
      <w:spacing w:val="10"/>
      <w:kern w:val="0"/>
      <w:sz w:val="24"/>
      <w:szCs w:val="20"/>
    </w:rPr>
  </w:style>
  <w:style w:type="paragraph" w:customStyle="1" w:styleId="4">
    <w:name w:val="正文 A"/>
    <w:next w:val="3"/>
    <w:qFormat/>
    <w:uiPriority w:val="0"/>
    <w:pPr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lang w:val="en-US" w:eastAsia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UserStyle_0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2021-08-25T07:05:00Z</dcterms:created>
  <dc:creator>anfan-03</dc:creator>
  <cp:lastModifiedBy>anfan-03</cp:lastModifiedBy>
  <dcterms:modified xsi:type="dcterms:W3CDTF">2021-08-25T07:06:28Z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20ED5639BE354E9BA269B601DF053CF8</vt:lpwstr>
  </property>
</Properties>
</file>