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color w:val="auto"/>
          <w:sz w:val="44"/>
          <w:szCs w:val="44"/>
          <w:lang w:val="en-US" w:eastAsia="zh-CN"/>
        </w:rPr>
        <w:t>南海区博物馆文创空间运营项目评分方案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一、评审方法：综合评分法。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本项目评审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方法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由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项目实施与响应能力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、综合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运营能力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、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团队及资本投入三部分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评分组成，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总分100分。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eastAsia="zh-CN"/>
        </w:rPr>
        <w:t>二、权重分配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0" w:firstLineChars="200"/>
        <w:textAlignment w:val="auto"/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项目实施与响应能力部分（30%）、综合运营能力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部分（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35%）、团队及资本投入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eastAsia="zh-CN"/>
        </w:rPr>
        <w:t>部分（</w:t>
      </w:r>
      <w:r>
        <w:rPr>
          <w:rFonts w:hint="eastAsia" w:ascii="仿宋_GB2312" w:hAnsi="仿宋_GB2312" w:eastAsia="仿宋_GB2312" w:cs="仿宋_GB2312"/>
          <w:color w:val="auto"/>
          <w:sz w:val="28"/>
          <w:szCs w:val="28"/>
          <w:lang w:val="en-US" w:eastAsia="zh-CN"/>
        </w:rPr>
        <w:t>35%）。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lang w:val="en-US" w:eastAsia="zh-CN"/>
        </w:rPr>
        <w:t>三、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lang w:val="en-US" w:eastAsia="zh-CN"/>
        </w:rPr>
        <w:t>评分标准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562" w:firstLineChars="200"/>
        <w:textAlignment w:val="auto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white"/>
          <w:lang w:val="en-US" w:eastAsia="zh-CN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white"/>
          <w:lang w:val="en-US" w:eastAsia="zh-CN"/>
        </w:rPr>
        <w:t>项目实施与响应能力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white"/>
          <w:lang w:val="en-US" w:eastAsia="zh-CN"/>
        </w:rPr>
        <w:t>部分（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white"/>
          <w:lang w:val="en-US" w:eastAsia="zh-CN"/>
        </w:rPr>
        <w:t>3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white"/>
          <w:lang w:val="en-US" w:eastAsia="zh-CN"/>
        </w:rPr>
        <w:t>0%）</w:t>
      </w:r>
    </w:p>
    <w:tbl>
      <w:tblPr>
        <w:tblStyle w:val="6"/>
        <w:tblW w:w="0" w:type="auto"/>
        <w:jc w:val="center"/>
        <w:tblBorders>
          <w:top w:val="single" w:color="auto" w:sz="2" w:space="0"/>
          <w:left w:val="single" w:color="auto" w:sz="2" w:space="0"/>
          <w:bottom w:val="single" w:color="auto" w:sz="2" w:space="0"/>
          <w:right w:val="single" w:color="auto" w:sz="2" w:space="0"/>
          <w:insideH w:val="single" w:color="auto" w:sz="2" w:space="0"/>
          <w:insideV w:val="single" w:color="auto" w:sz="2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70"/>
        <w:gridCol w:w="6582"/>
        <w:gridCol w:w="992"/>
      </w:tblGrid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70" w:type="dxa"/>
            <w:tcBorders>
              <w:left w:val="single" w:color="auto" w:sz="4" w:space="0"/>
            </w:tcBorders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  <w:lang w:eastAsia="zh-CN"/>
              </w:rPr>
              <w:t>分</w:t>
            </w: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项</w:t>
            </w:r>
          </w:p>
        </w:tc>
        <w:tc>
          <w:tcPr>
            <w:tcW w:w="658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评分标准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adjustRightInd w:val="0"/>
              <w:snapToGrid w:val="0"/>
              <w:spacing w:before="100" w:beforeAutospacing="1" w:after="100" w:afterAutospacing="1"/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1"/>
                <w:szCs w:val="21"/>
              </w:rPr>
              <w:t>分值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1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实施方案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对本项目理解程度</w:t>
            </w:r>
          </w:p>
        </w:tc>
        <w:tc>
          <w:tcPr>
            <w:tcW w:w="6582" w:type="dxa"/>
            <w:noWrap w:val="0"/>
            <w:vAlign w:val="center"/>
          </w:tcPr>
          <w:p>
            <w:pP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  <w:lang w:eastAsia="zh-CN"/>
              </w:rPr>
              <w:t>报名单位实施方案</w:t>
            </w:r>
            <w: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</w:rPr>
              <w:t>对本项目的理解及分析：</w:t>
            </w:r>
          </w:p>
          <w:p>
            <w:pP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</w:rPr>
              <w:t>对本项目的理解及分析深入、全面，得8分；</w:t>
            </w:r>
          </w:p>
          <w:p>
            <w:pP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</w:rPr>
              <w:t>对本项目的理解及分析较深入、较全面，得6分；</w:t>
            </w:r>
          </w:p>
          <w:p>
            <w:pP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</w:rPr>
              <w:t>对本项目的理解及分析不够深入、不够全面，得4分；</w:t>
            </w:r>
          </w:p>
          <w:p>
            <w:pP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</w:rPr>
              <w:t>对本项目的理解及分析不深入、不全面，得1分。</w:t>
            </w:r>
          </w:p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宋体"/>
                <w:bCs/>
                <w:color w:val="auto"/>
                <w:sz w:val="21"/>
                <w:szCs w:val="21"/>
              </w:rPr>
              <w:t>不提供材料不得分。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00" w:lineRule="exact"/>
              <w:jc w:val="center"/>
              <w:rPr>
                <w:rFonts w:hint="eastAsia" w:ascii="仿宋" w:hAnsi="仿宋" w:eastAsia="仿宋" w:cs="仿宋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对实施方案的整体评价</w:t>
            </w:r>
          </w:p>
        </w:tc>
        <w:tc>
          <w:tcPr>
            <w:tcW w:w="6582" w:type="dxa"/>
            <w:noWrap w:val="0"/>
            <w:vAlign w:val="center"/>
          </w:tcPr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报名单位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提供的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实施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方案进行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评分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：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方案十分完整，计划合理、可行性高得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方案较完整，计划较合理、可行性较高得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6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分；</w:t>
            </w:r>
          </w:p>
          <w:p>
            <w:pPr>
              <w:jc w:val="left"/>
              <w:rPr>
                <w:rFonts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方案不够完整，计划不够合理、可行性不高得3分；</w:t>
            </w:r>
          </w:p>
          <w:p>
            <w:pPr>
              <w:snapToGrid w:val="0"/>
              <w:spacing w:line="276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shd w:val="clear" w:color="auto" w:fill="FFFFFF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 xml:space="preserve">不提供方案不得分。 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9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99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spacing w:line="360" w:lineRule="exact"/>
              <w:jc w:val="center"/>
              <w:rPr>
                <w:rFonts w:hint="eastAsia" w:ascii="仿宋" w:hAnsi="仿宋" w:eastAsia="仿宋" w:cs="仿宋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实施方案对合作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的关键要求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响应程度</w:t>
            </w:r>
          </w:p>
        </w:tc>
        <w:tc>
          <w:tcPr>
            <w:tcW w:w="6582" w:type="dxa"/>
            <w:noWrap w:val="0"/>
            <w:vAlign w:val="center"/>
          </w:tcPr>
          <w:p>
            <w:pPr>
              <w:spacing w:line="360" w:lineRule="exac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报名单位相应关键条件（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4项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）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情况：完全响应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的，每一项得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1分；响应内容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优于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关键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要求的，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每一项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分，不响应或负偏离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的不得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分；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val="en-US" w:eastAsia="zh-CN"/>
              </w:rPr>
              <w:t>8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  <w:tr>
        <w:tblPrEx>
          <w:tblBorders>
            <w:top w:val="single" w:color="auto" w:sz="2" w:space="0"/>
            <w:left w:val="single" w:color="auto" w:sz="2" w:space="0"/>
            <w:bottom w:val="single" w:color="auto" w:sz="2" w:space="0"/>
            <w:right w:val="single" w:color="auto" w:sz="2" w:space="0"/>
            <w:insideH w:val="single" w:color="auto" w:sz="2" w:space="0"/>
            <w:insideV w:val="single" w:color="auto" w:sz="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78" w:hRule="atLeast"/>
          <w:jc w:val="center"/>
        </w:trPr>
        <w:tc>
          <w:tcPr>
            <w:tcW w:w="1170" w:type="dxa"/>
            <w:noWrap w:val="0"/>
            <w:vAlign w:val="center"/>
          </w:tcPr>
          <w:p>
            <w:pPr>
              <w:jc w:val="center"/>
              <w:rPr>
                <w:rFonts w:hint="eastAsia" w:ascii="仿宋" w:hAnsi="仿宋" w:eastAsia="仿宋" w:cs="仿宋"/>
                <w:color w:val="auto"/>
                <w:spacing w:val="-12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pacing w:val="-12"/>
                <w:sz w:val="21"/>
                <w:szCs w:val="21"/>
                <w:lang w:eastAsia="zh-CN"/>
              </w:rPr>
              <w:t>对保障</w:t>
            </w:r>
            <w:r>
              <w:rPr>
                <w:rFonts w:hint="eastAsia" w:ascii="仿宋" w:hAnsi="仿宋" w:eastAsia="仿宋" w:cs="仿宋"/>
                <w:bCs/>
                <w:color w:val="auto"/>
                <w:spacing w:val="-12"/>
                <w:sz w:val="21"/>
                <w:szCs w:val="21"/>
              </w:rPr>
              <w:t>方案</w:t>
            </w:r>
            <w:r>
              <w:rPr>
                <w:rFonts w:hint="eastAsia" w:ascii="仿宋" w:hAnsi="仿宋" w:eastAsia="仿宋" w:cs="仿宋"/>
                <w:bCs/>
                <w:color w:val="auto"/>
                <w:spacing w:val="-12"/>
                <w:sz w:val="21"/>
                <w:szCs w:val="21"/>
                <w:lang w:eastAsia="zh-CN"/>
              </w:rPr>
              <w:t>的整体评价</w:t>
            </w:r>
          </w:p>
        </w:tc>
        <w:tc>
          <w:tcPr>
            <w:tcW w:w="6582" w:type="dxa"/>
            <w:noWrap w:val="0"/>
            <w:vAlign w:val="center"/>
          </w:tcPr>
          <w:p>
            <w:pPr>
              <w:snapToGrid w:val="0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根据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报名单位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提供的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保障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  <w:t>方案进行</w:t>
            </w:r>
            <w:r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  <w:lang w:eastAsia="zh-CN"/>
              </w:rPr>
              <w:t>评分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：</w:t>
            </w:r>
          </w:p>
          <w:p>
            <w:pPr>
              <w:snapToGrid w:val="0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优：服务响应时间迅速，提供服务便利性较好，得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分；</w:t>
            </w:r>
          </w:p>
          <w:p>
            <w:pPr>
              <w:snapToGrid w:val="0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良：服务响应时间较快，提供服务便利性一般，得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分；</w:t>
            </w:r>
          </w:p>
          <w:p>
            <w:pPr>
              <w:snapToGrid w:val="0"/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差：服务响应时间较慢，提供服务便利性差，得</w:t>
            </w:r>
            <w:r>
              <w:rPr>
                <w:rFonts w:hint="eastAsia" w:ascii="仿宋" w:hAnsi="仿宋" w:eastAsia="仿宋"/>
                <w:bCs/>
                <w:color w:val="auto"/>
                <w:sz w:val="21"/>
                <w:szCs w:val="21"/>
              </w:rPr>
              <w:t>1</w:t>
            </w: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分。</w:t>
            </w:r>
          </w:p>
          <w:p>
            <w:pPr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bCs/>
                <w:color w:val="auto"/>
                <w:sz w:val="21"/>
                <w:szCs w:val="21"/>
              </w:rPr>
              <w:t>不提供方案不得分。</w:t>
            </w:r>
          </w:p>
        </w:tc>
        <w:tc>
          <w:tcPr>
            <w:tcW w:w="992" w:type="dxa"/>
            <w:noWrap w:val="0"/>
            <w:vAlign w:val="center"/>
          </w:tcPr>
          <w:p>
            <w:pPr>
              <w:widowControl/>
              <w:jc w:val="center"/>
              <w:rPr>
                <w:rFonts w:hint="eastAsia" w:ascii="仿宋" w:hAnsi="仿宋" w:eastAsia="仿宋" w:cs="仿宋"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</w:t>
            </w:r>
          </w:p>
        </w:tc>
      </w:tr>
    </w:tbl>
    <w:p>
      <w:pPr>
        <w:numPr>
          <w:ilvl w:val="0"/>
          <w:numId w:val="0"/>
        </w:numPr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highlight w:val="whit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cs="宋体"/>
          <w:b/>
          <w:bCs/>
          <w:color w:val="auto"/>
          <w:sz w:val="28"/>
          <w:szCs w:val="28"/>
          <w:highlight w:val="white"/>
          <w:lang w:val="en-US" w:eastAsia="zh-CN"/>
        </w:rPr>
      </w:pPr>
    </w:p>
    <w:p>
      <w:pPr>
        <w:numPr>
          <w:ilvl w:val="0"/>
          <w:numId w:val="0"/>
        </w:numPr>
        <w:ind w:firstLine="562" w:firstLineChars="200"/>
        <w:rPr>
          <w:rFonts w:hint="eastAsia" w:ascii="宋体" w:hAnsi="宋体" w:eastAsia="宋体" w:cs="Calibri"/>
          <w:b/>
          <w:bCs/>
          <w:color w:val="auto"/>
          <w:kern w:val="2"/>
          <w:sz w:val="28"/>
          <w:szCs w:val="28"/>
          <w:highlight w:val="white"/>
        </w:rPr>
      </w:pPr>
      <w:r>
        <w:rPr>
          <w:rFonts w:hint="eastAsia" w:ascii="宋体" w:hAnsi="宋体" w:cs="宋体"/>
          <w:b/>
          <w:bCs/>
          <w:color w:val="auto"/>
          <w:sz w:val="28"/>
          <w:szCs w:val="28"/>
          <w:highlight w:val="white"/>
          <w:lang w:val="en-US" w:eastAsia="zh-CN"/>
        </w:rPr>
        <w:t>综合运营能力</w:t>
      </w:r>
      <w:r>
        <w:rPr>
          <w:rFonts w:hint="eastAsia" w:ascii="宋体" w:hAnsi="宋体" w:eastAsia="宋体" w:cs="Calibri"/>
          <w:b/>
          <w:bCs/>
          <w:color w:val="auto"/>
          <w:kern w:val="2"/>
          <w:sz w:val="28"/>
          <w:szCs w:val="28"/>
          <w:highlight w:val="white"/>
        </w:rPr>
        <w:t>部分（</w:t>
      </w:r>
      <w:r>
        <w:rPr>
          <w:rFonts w:hint="eastAsia" w:ascii="宋体" w:hAnsi="宋体" w:cs="Calibri"/>
          <w:b/>
          <w:bCs/>
          <w:color w:val="auto"/>
          <w:kern w:val="2"/>
          <w:sz w:val="28"/>
          <w:szCs w:val="28"/>
          <w:highlight w:val="white"/>
          <w:lang w:val="en-US" w:eastAsia="zh-CN"/>
        </w:rPr>
        <w:t>35</w:t>
      </w:r>
      <w:r>
        <w:rPr>
          <w:rFonts w:hint="eastAsia" w:ascii="宋体" w:hAnsi="宋体" w:eastAsia="宋体" w:cs="Calibri"/>
          <w:b/>
          <w:bCs/>
          <w:color w:val="auto"/>
          <w:kern w:val="2"/>
          <w:sz w:val="28"/>
          <w:szCs w:val="28"/>
          <w:highlight w:val="white"/>
        </w:rPr>
        <w:t>%）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88"/>
        <w:gridCol w:w="5878"/>
        <w:gridCol w:w="97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5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whit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highlight w:val="white"/>
                <w:lang w:eastAsia="zh-CN"/>
              </w:rPr>
              <w:t>评分项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white"/>
              </w:rPr>
              <w:t>评分标准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whit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681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人才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优势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评价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根据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报名单位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的创始人或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带队参与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本项目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的主要负责人背景情况，对本项目顺利开展的评分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：</w:t>
            </w:r>
          </w:p>
          <w:p>
            <w:pPr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1、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创始人或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带头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人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长期在佛山、南海从事文创活动，对本地文化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熟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悉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程度较高，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具有较强与政府部门沟通能力和执行能力，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承担本项目具有较多优势得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分；</w:t>
            </w:r>
          </w:p>
          <w:p>
            <w:pPr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2、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创始人或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带头人在佛山、南海时间不长，对本地文化情况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熟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悉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程度一般，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具有一定政府部门沟通能力与执行力，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承担本项目具有一定优势得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分；</w:t>
            </w:r>
          </w:p>
          <w:p>
            <w:pPr>
              <w:rPr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3、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创始人或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带头人对佛山、南海文化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熟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悉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程度较低，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缺乏与政府部门沟通能力和执行力，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承担本项目优势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不显著</w:t>
            </w: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得1分；</w:t>
            </w:r>
          </w:p>
          <w:p>
            <w:pPr>
              <w:spacing w:line="273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4、不提供方案不得分。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45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对合作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要求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的增值服务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响应程度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评价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numPr>
                <w:ilvl w:val="0"/>
                <w:numId w:val="1"/>
              </w:numPr>
              <w:spacing w:line="273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名单位本身（含母公司）自有开展文创产品开发、生产、销售团队；自有组织开展研学游或文化旅游的旅行社服务资质；自有组织有文化、旅游等活动策划执行服务资质的；已建立线上文创产品销售平台的，得15分；</w:t>
            </w:r>
          </w:p>
          <w:p>
            <w:pPr>
              <w:numPr>
                <w:ilvl w:val="0"/>
                <w:numId w:val="1"/>
              </w:numPr>
              <w:spacing w:line="273" w:lineRule="auto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名单位本身（含母公司）并无自有开展文创产品开发、生产、销售团队；自有组织开展研学游或文化旅游的旅行社服务资质；未建立线上文创产品销售平台，但承诺可以通过联合社会第三方共同提供以上全部增值服务内容的，并能提供相关具备法律效力的合作协议的，得10分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报名单位本身（含母公司）对开展文创产品开发、生产、销售团队；自有组织开展研学游或文化旅游的旅行社服务资质；未建立线上文创产品销售平台，只能承诺提供其中部分增值服务的，得5分；</w:t>
            </w:r>
          </w:p>
          <w:p>
            <w:pPr>
              <w:pStyle w:val="2"/>
              <w:numPr>
                <w:ilvl w:val="0"/>
                <w:numId w:val="1"/>
              </w:numP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/>
                <w:color w:val="auto"/>
                <w:sz w:val="21"/>
                <w:szCs w:val="21"/>
              </w:rPr>
              <w:t>不提供方案不得分。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7" w:hRule="atLeast"/>
          <w:jc w:val="center"/>
        </w:trPr>
        <w:tc>
          <w:tcPr>
            <w:tcW w:w="1588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eastAsia" w:ascii="仿宋_GB2312" w:hAnsi="仿宋_GB2312" w:eastAsia="仿宋_GB2312" w:cs="仿宋_GB2312"/>
                <w:b w:val="0"/>
                <w:bCs/>
                <w:color w:val="auto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过往业绩评价</w:t>
            </w:r>
          </w:p>
        </w:tc>
        <w:tc>
          <w:tcPr>
            <w:tcW w:w="5878" w:type="dxa"/>
            <w:noWrap w:val="0"/>
            <w:vAlign w:val="center"/>
          </w:tcPr>
          <w:p>
            <w:pPr>
              <w:pStyle w:val="8"/>
              <w:rPr>
                <w:rStyle w:val="9"/>
                <w:rFonts w:ascii="仿宋" w:hAnsi="仿宋" w:eastAsia="仿宋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1.报名单位本身（含母公司）曾承接政府部门委托，作为承办（或协办）单位</w:t>
            </w: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1"/>
              </w:rPr>
              <w:t>参与</w:t>
            </w: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佛山范围内的文化创意主题节庆活动的，</w:t>
            </w: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得4分；</w:t>
            </w:r>
          </w:p>
          <w:p>
            <w:pPr>
              <w:pStyle w:val="8"/>
              <w:rPr>
                <w:rStyle w:val="9"/>
                <w:rFonts w:hint="eastAsia" w:ascii="仿宋" w:hAnsi="仿宋" w:eastAsia="仿宋"/>
                <w:color w:val="auto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2.报名单位过往自主设计的文创产品，并取得相关知识产权登记的，得3</w:t>
            </w:r>
            <w:r>
              <w:rPr>
                <w:rStyle w:val="9"/>
                <w:rFonts w:ascii="仿宋" w:hAnsi="仿宋" w:eastAsia="仿宋"/>
                <w:color w:val="auto"/>
                <w:sz w:val="21"/>
                <w:szCs w:val="21"/>
              </w:rPr>
              <w:t>分</w:t>
            </w: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1"/>
              </w:rPr>
              <w:t>；</w:t>
            </w:r>
          </w:p>
          <w:p>
            <w:pPr>
              <w:pStyle w:val="8"/>
              <w:rPr>
                <w:rStyle w:val="9"/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</w:pP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3.报名单位拥有自有的文创产品品牌，并取得相关商标注册登记的，得3分；</w:t>
            </w:r>
          </w:p>
          <w:p>
            <w:pPr>
              <w:pStyle w:val="8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</w:rPr>
            </w:pP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Style w:val="9"/>
                <w:rFonts w:ascii="仿宋" w:hAnsi="仿宋" w:eastAsia="仿宋"/>
                <w:color w:val="auto"/>
                <w:sz w:val="21"/>
                <w:szCs w:val="21"/>
              </w:rPr>
              <w:t>不提供</w:t>
            </w:r>
            <w:r>
              <w:rPr>
                <w:rStyle w:val="9"/>
                <w:rFonts w:hint="eastAsia" w:ascii="仿宋" w:hAnsi="仿宋" w:eastAsia="仿宋"/>
                <w:color w:val="auto"/>
                <w:sz w:val="21"/>
                <w:szCs w:val="21"/>
                <w:lang w:eastAsia="zh-CN"/>
              </w:rPr>
              <w:t>佐证</w:t>
            </w:r>
            <w:r>
              <w:rPr>
                <w:rStyle w:val="9"/>
                <w:rFonts w:ascii="仿宋" w:hAnsi="仿宋" w:eastAsia="仿宋"/>
                <w:color w:val="auto"/>
                <w:sz w:val="21"/>
                <w:szCs w:val="21"/>
              </w:rPr>
              <w:t>材料不得分。</w:t>
            </w:r>
          </w:p>
        </w:tc>
        <w:tc>
          <w:tcPr>
            <w:tcW w:w="973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spacing w:after="100" w:afterLines="0" w:afterAutospacing="1"/>
        <w:rPr>
          <w:rFonts w:hint="eastAsia" w:ascii="宋体" w:hAnsi="宋体" w:eastAsia="宋体" w:cs="Calibri"/>
          <w:color w:val="auto"/>
          <w:kern w:val="2"/>
          <w:sz w:val="21"/>
          <w:highlight w:val="white"/>
        </w:rPr>
      </w:pPr>
    </w:p>
    <w:p>
      <w:pPr>
        <w:pStyle w:val="2"/>
        <w:rPr>
          <w:rFonts w:hint="eastAsia" w:ascii="宋体" w:hAnsi="宋体" w:eastAsia="宋体" w:cs="Calibri"/>
          <w:color w:val="auto"/>
          <w:kern w:val="2"/>
          <w:sz w:val="21"/>
          <w:highlight w:val="white"/>
        </w:rPr>
      </w:pPr>
    </w:p>
    <w:p>
      <w:pPr>
        <w:pStyle w:val="2"/>
        <w:rPr>
          <w:rFonts w:hint="eastAsia" w:ascii="宋体" w:hAnsi="宋体" w:eastAsia="宋体" w:cs="Calibri"/>
          <w:color w:val="auto"/>
          <w:kern w:val="2"/>
          <w:sz w:val="21"/>
          <w:highlight w:val="white"/>
        </w:rPr>
      </w:pPr>
    </w:p>
    <w:p>
      <w:pPr>
        <w:spacing w:after="100" w:afterLines="0" w:afterAutospacing="1"/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white"/>
        </w:rPr>
      </w:pPr>
      <w:r>
        <w:rPr>
          <w:rFonts w:hint="eastAsia" w:ascii="宋体" w:hAnsi="宋体" w:eastAsia="宋体" w:cs="Calibri"/>
          <w:color w:val="auto"/>
          <w:kern w:val="2"/>
          <w:sz w:val="28"/>
          <w:szCs w:val="28"/>
          <w:highlight w:val="white"/>
        </w:rPr>
        <w:t xml:space="preserve"> </w:t>
      </w:r>
      <w:r>
        <w:rPr>
          <w:rFonts w:hint="eastAsia" w:ascii="宋体" w:hAnsi="宋体" w:cs="Calibri"/>
          <w:color w:val="auto"/>
          <w:kern w:val="2"/>
          <w:sz w:val="28"/>
          <w:szCs w:val="28"/>
          <w:highlight w:val="white"/>
          <w:lang w:val="en-US" w:eastAsia="zh-CN"/>
        </w:rPr>
        <w:t xml:space="preserve">  </w:t>
      </w:r>
      <w:r>
        <w:rPr>
          <w:rFonts w:hint="eastAsia" w:ascii="宋体" w:hAnsi="宋体" w:cs="宋体"/>
          <w:b/>
          <w:bCs/>
          <w:color w:val="auto"/>
          <w:sz w:val="28"/>
          <w:szCs w:val="28"/>
          <w:highlight w:val="white"/>
          <w:lang w:val="en-US" w:eastAsia="zh-CN"/>
        </w:rPr>
        <w:t>团队及资本投入</w:t>
      </w:r>
      <w:r>
        <w:rPr>
          <w:rFonts w:hint="eastAsia" w:ascii="宋体" w:hAnsi="宋体" w:eastAsia="宋体"/>
          <w:b/>
          <w:bCs/>
          <w:color w:val="auto"/>
          <w:sz w:val="28"/>
          <w:szCs w:val="28"/>
          <w:highlight w:val="white"/>
        </w:rPr>
        <w:t>部分（</w:t>
      </w:r>
      <w:r>
        <w:rPr>
          <w:rFonts w:hint="eastAsia" w:ascii="宋体" w:hAnsi="宋体"/>
          <w:b/>
          <w:bCs/>
          <w:color w:val="auto"/>
          <w:sz w:val="28"/>
          <w:szCs w:val="28"/>
          <w:highlight w:val="white"/>
          <w:lang w:val="en-US" w:eastAsia="zh-CN"/>
        </w:rPr>
        <w:t>35</w:t>
      </w:r>
      <w:r>
        <w:rPr>
          <w:rFonts w:hint="eastAsia" w:ascii="宋体" w:hAnsi="宋体" w:eastAsia="宋体" w:cs="宋体"/>
          <w:b/>
          <w:bCs/>
          <w:color w:val="auto"/>
          <w:sz w:val="28"/>
          <w:szCs w:val="28"/>
          <w:highlight w:val="white"/>
        </w:rPr>
        <w:t>%）</w:t>
      </w:r>
    </w:p>
    <w:tbl>
      <w:tblPr>
        <w:tblStyle w:val="6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9"/>
        <w:gridCol w:w="6016"/>
        <w:gridCol w:w="8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noWrap w:val="0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white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auto"/>
                <w:kern w:val="2"/>
                <w:sz w:val="21"/>
                <w:szCs w:val="21"/>
                <w:highlight w:val="white"/>
                <w:lang w:eastAsia="zh-CN"/>
              </w:rPr>
              <w:t>评分项</w:t>
            </w:r>
          </w:p>
        </w:tc>
        <w:tc>
          <w:tcPr>
            <w:tcW w:w="6016" w:type="dxa"/>
            <w:noWrap w:val="0"/>
            <w:vAlign w:val="center"/>
          </w:tcPr>
          <w:p>
            <w:pPr>
              <w:jc w:val="center"/>
              <w:rPr>
                <w:rFonts w:hint="eastAsia"/>
                <w:color w:val="auto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white"/>
              </w:rPr>
              <w:t>评分标准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jc w:val="center"/>
              <w:rPr>
                <w:color w:val="auto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kern w:val="2"/>
                <w:sz w:val="21"/>
                <w:szCs w:val="21"/>
                <w:highlight w:val="white"/>
              </w:rPr>
              <w:t>分值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常驻文创空间团队</w:t>
            </w:r>
          </w:p>
        </w:tc>
        <w:tc>
          <w:tcPr>
            <w:tcW w:w="6016" w:type="dxa"/>
            <w:noWrap w:val="0"/>
            <w:vAlign w:val="center"/>
          </w:tcPr>
          <w:p>
            <w:pPr>
              <w:spacing w:line="273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1.常驻团队人员配备完整，能包括运营、活动策划与执行、导赏导购、财务等类别成员，并能满足常年开放人员轮替休息需求的，得15分；</w:t>
            </w:r>
          </w:p>
          <w:p>
            <w:pPr>
              <w:spacing w:line="273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2.常驻团队人员配备基本充足</w:t>
            </w:r>
            <w:r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  <w:t>，但不能全部涵盖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运营、活动策划与执行、导赏导购、财务等类别成员，可能存在人手不足的情况的，得10分；</w:t>
            </w:r>
          </w:p>
          <w:p>
            <w:pPr>
              <w:pStyle w:val="3"/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3.常驻团队成员配备不足，难以应付日常开放需求的，得5分。</w:t>
            </w:r>
          </w:p>
          <w:p>
            <w:pPr>
              <w:pStyle w:val="4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4.报名单位应提供常驻团队的人员名单、报名单位与人员直接的劳动关系（或劳务关系）佐证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材料，不提供的不得分。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  <w:t>参与本项目文博文创设计、营销团队</w:t>
            </w:r>
          </w:p>
        </w:tc>
        <w:tc>
          <w:tcPr>
            <w:tcW w:w="6016" w:type="dxa"/>
            <w:noWrap w:val="0"/>
            <w:vAlign w:val="center"/>
          </w:tcPr>
          <w:p>
            <w:pPr>
              <w:ind w:left="-63" w:leftChars="-30" w:right="-88" w:rightChars="-42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投入本项目的项目人员的数量充足、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设计能力强、营销水平好，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学历水平高、综合素质高，与本次项目活动需求关联度高，得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分；</w:t>
            </w:r>
          </w:p>
          <w:p>
            <w:pPr>
              <w:ind w:left="-63" w:leftChars="-30" w:right="-88" w:rightChars="-42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2.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投入本项目的项目人员的数量一般、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设计能力一般、营销水平一般，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学历水平一般、综合素质一般，与本次项目活动需求关联度一般，得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分；</w:t>
            </w:r>
          </w:p>
          <w:p>
            <w:pPr>
              <w:ind w:left="-63" w:leftChars="-30" w:right="-88" w:rightChars="-42"/>
              <w:jc w:val="left"/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3.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投入本项目的项目人员的数量不足、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设计能力不强、营销水平低、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学历水平低、综合素素质差，与本次项目活动需求关联度较低，得2分；</w:t>
            </w:r>
          </w:p>
          <w:p>
            <w:pPr>
              <w:spacing w:line="273" w:lineRule="auto"/>
              <w:jc w:val="left"/>
              <w:rPr>
                <w:rFonts w:hint="eastAsia" w:ascii="仿宋_GB2312" w:hAnsi="仿宋_GB2312" w:eastAsia="仿宋_GB2312" w:cs="仿宋_GB2312"/>
                <w:color w:val="auto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4.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须提供上述人员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能力水平及业绩说明、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学历证书、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eastAsia="zh-CN"/>
              </w:rPr>
              <w:t>工作履历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</w:rPr>
              <w:t>等作为证明材料，不提供不得分。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jc w:val="center"/>
        </w:trPr>
        <w:tc>
          <w:tcPr>
            <w:tcW w:w="1619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资本投入</w:t>
            </w:r>
          </w:p>
        </w:tc>
        <w:tc>
          <w:tcPr>
            <w:tcW w:w="6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ind w:right="0" w:rightChars="0"/>
              <w:textAlignment w:val="auto"/>
              <w:outlineLvl w:val="9"/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1.承诺前5年投入文创空间运营资金不低于人民币300万元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（包括对文创空间加设的设备设施成本，组织文创体验活动成本，日常驻场人员成本，首批“南海文博IP活化大赛”设计成果量化生产成本，配合南海区博物馆开展的文创产品设计、开发、生产成本）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，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lang w:val="en-US" w:eastAsia="zh-CN"/>
              </w:rPr>
              <w:t>其中对首批“南海文博IP活化大赛”设计成果进行量化生产数量不少于30款，累计投资额不少于30万元的</w:t>
            </w:r>
            <w:r>
              <w:rPr>
                <w:rFonts w:hint="eastAsia" w:ascii="仿宋" w:hAnsi="仿宋" w:eastAsia="仿宋" w:cs="仿宋"/>
                <w:color w:val="auto"/>
                <w:kern w:val="2"/>
                <w:sz w:val="21"/>
                <w:szCs w:val="21"/>
                <w:lang w:val="en-US" w:eastAsia="zh-CN"/>
              </w:rPr>
              <w:t>，得6分；承诺投入资金每增加10万，多得1分。</w:t>
            </w:r>
            <w:r>
              <w:rPr>
                <w:rFonts w:hint="eastAsia" w:ascii="仿宋" w:hAnsi="仿宋" w:eastAsia="仿宋" w:cs="仿宋"/>
                <w:color w:val="auto"/>
                <w:sz w:val="21"/>
                <w:szCs w:val="21"/>
                <w:highlight w:val="none"/>
                <w:lang w:val="en-US" w:eastAsia="zh-CN"/>
              </w:rPr>
              <w:t>此项最高得分为10分。</w:t>
            </w:r>
          </w:p>
        </w:tc>
        <w:tc>
          <w:tcPr>
            <w:tcW w:w="806" w:type="dxa"/>
            <w:noWrap w:val="0"/>
            <w:vAlign w:val="center"/>
          </w:tcPr>
          <w:p>
            <w:pPr>
              <w:spacing w:line="273" w:lineRule="auto"/>
              <w:jc w:val="center"/>
              <w:rPr>
                <w:color w:val="auto"/>
                <w:sz w:val="21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2"/>
                <w:sz w:val="21"/>
                <w:szCs w:val="21"/>
                <w:lang w:val="en-US" w:eastAsia="zh-CN"/>
              </w:rPr>
              <w:t>10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600" w:lineRule="exact"/>
        <w:textAlignment w:val="auto"/>
        <w:rPr>
          <w:rFonts w:hint="eastAsia" w:ascii="仿宋" w:hAnsi="仿宋" w:eastAsia="仿宋" w:cs="仿宋"/>
          <w:color w:val="auto"/>
          <w:sz w:val="32"/>
          <w:szCs w:val="32"/>
        </w:rPr>
      </w:pPr>
    </w:p>
    <w:p>
      <w:bookmarkStart w:id="0" w:name="_GoBack"/>
      <w:bookmarkEnd w:id="0"/>
    </w:p>
    <w:sectPr>
      <w:footerReference r:id="rId3" w:type="default"/>
      <w:pgSz w:w="11906" w:h="16838"/>
      <w:pgMar w:top="1440" w:right="1800" w:bottom="1440" w:left="1800" w:header="851" w:footer="992" w:gutter="0"/>
      <w:pgNumType w:fmt="numberInDash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Arial Unicode MS">
    <w:altName w:val="Arial"/>
    <w:panose1 w:val="020B0604020202020204"/>
    <w:charset w:val="88"/>
    <w:family w:val="auto"/>
    <w:pitch w:val="default"/>
    <w:sig w:usb0="00000000" w:usb1="00000000" w:usb2="0000003F" w:usb3="00000000" w:csb0="603F01FF" w:csb1="FFFF0000"/>
  </w:font>
  <w:font w:name="方正小标宋简体">
    <w:altName w:val="黑体"/>
    <w:panose1 w:val="02000000000000000000"/>
    <w:charset w:val="86"/>
    <w:family w:val="auto"/>
    <w:pitch w:val="default"/>
    <w:sig w:usb0="00000000" w:usb1="00000000" w:usb2="00000012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5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zql5uc8AAAAFAQAADwAAAAAAAAABACAAAAAiAAAAZHJzL2Rvd25yZXYueG1s&#10;UEsBAhQAFAAAAAgAh07iQOSi/s/IAQAAmQMAAA4AAAAAAAAAAQAgAAAAHgEAAGRycy9lMm9Eb2Mu&#10;eG1sUEsFBgAAAAAGAAYAWQEAAFgFAAAAAA==&#10;">
              <v:path/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5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6119D40A"/>
    <w:multiLevelType w:val="singleLevel"/>
    <w:tmpl w:val="6119D40A"/>
    <w:lvl w:ilvl="0" w:tentative="0">
      <w:start w:val="1"/>
      <w:numFmt w:val="decimal"/>
      <w:suff w:val="nothing"/>
      <w:lvlText w:val="%1.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D863390"/>
    <w:rsid w:val="5D8633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semiHidden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2"/>
      <w:lang w:val="en-US" w:eastAsia="zh-CN"/>
    </w:rPr>
  </w:style>
  <w:style w:type="paragraph" w:styleId="3">
    <w:name w:val="heading 3"/>
    <w:basedOn w:val="1"/>
    <w:next w:val="4"/>
    <w:unhideWhenUsed/>
    <w:qFormat/>
    <w:uiPriority w:val="0"/>
    <w:pPr>
      <w:spacing w:line="360" w:lineRule="auto"/>
      <w:outlineLvl w:val="2"/>
    </w:pPr>
    <w:rPr>
      <w:b/>
      <w:sz w:val="28"/>
      <w:szCs w:val="24"/>
    </w:rPr>
  </w:style>
  <w:style w:type="character" w:default="1" w:styleId="7">
    <w:name w:val="Default Paragraph Font"/>
    <w:semiHidden/>
    <w:uiPriority w:val="0"/>
  </w:style>
  <w:style w:type="table" w:default="1" w:styleId="6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表格文字"/>
    <w:basedOn w:val="1"/>
    <w:qFormat/>
    <w:uiPriority w:val="0"/>
    <w:pPr>
      <w:spacing w:before="25" w:beforeLines="0" w:after="25" w:afterLines="0"/>
      <w:jc w:val="left"/>
    </w:pPr>
    <w:rPr>
      <w:bCs/>
      <w:spacing w:val="10"/>
      <w:kern w:val="0"/>
      <w:sz w:val="24"/>
      <w:szCs w:val="20"/>
    </w:rPr>
  </w:style>
  <w:style w:type="paragraph" w:customStyle="1" w:styleId="4">
    <w:name w:val="正文 A"/>
    <w:next w:val="3"/>
    <w:qFormat/>
    <w:uiPriority w:val="0"/>
    <w:pPr>
      <w:jc w:val="both"/>
    </w:pPr>
    <w:rPr>
      <w:rFonts w:ascii="Calibri" w:hAnsi="Calibri" w:eastAsia="Arial Unicode MS" w:cs="Arial Unicode MS"/>
      <w:color w:val="000000"/>
      <w:kern w:val="2"/>
      <w:sz w:val="21"/>
      <w:szCs w:val="21"/>
      <w:lang w:val="en-US" w:eastAsia="zh-CN"/>
    </w:rPr>
  </w:style>
  <w:style w:type="paragraph" w:styleId="5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customStyle="1" w:styleId="8">
    <w:name w:val="UserStyle_0"/>
    <w:qFormat/>
    <w:uiPriority w:val="0"/>
    <w:pPr>
      <w:jc w:val="both"/>
      <w:textAlignment w:val="baseline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customStyle="1" w:styleId="9">
    <w:name w:val="NormalCharacter"/>
    <w:semiHidden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Office_11.1.0.10700_F1E327BC-269C-435d-A152-05C5408002CA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2021-08-25T07:05:00Z</dcterms:created>
  <dc:creator>anfan-03</dc:creator>
  <cp:lastModifiedBy>anfan-03</cp:lastModifiedBy>
  <dcterms:modified xsi:type="dcterms:W3CDTF">2021-08-25T07:06:28Z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2052-11.1.0.10700</vt:lpwstr>
  </property>
  <property fmtid="{D5CDD505-2E9C-101B-9397-08002B2CF9AE}" pid="3" name="ICV">
    <vt:lpwstr>20ED5639BE354E9BA269B601DF053CF8</vt:lpwstr>
  </property>
</Properties>
</file>